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AD2EB3" w:rsidRDefault="000B41FE" w:rsidP="00AD2EB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920B4" w:rsidRPr="002920B4" w:rsidRDefault="002920B4" w:rsidP="002920B4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2920B4">
        <w:rPr>
          <w:b/>
          <w:bCs/>
          <w:color w:val="333333"/>
          <w:sz w:val="28"/>
          <w:szCs w:val="28"/>
        </w:rPr>
        <w:t>У</w:t>
      </w:r>
      <w:r w:rsidRPr="002920B4">
        <w:rPr>
          <w:b/>
          <w:bCs/>
          <w:color w:val="333333"/>
          <w:sz w:val="28"/>
          <w:szCs w:val="28"/>
        </w:rPr>
        <w:t>головн</w:t>
      </w:r>
      <w:r w:rsidRPr="002920B4">
        <w:rPr>
          <w:b/>
          <w:bCs/>
          <w:color w:val="333333"/>
          <w:sz w:val="28"/>
          <w:szCs w:val="28"/>
        </w:rPr>
        <w:t>ая</w:t>
      </w:r>
      <w:r w:rsidRPr="002920B4">
        <w:rPr>
          <w:b/>
          <w:bCs/>
          <w:color w:val="333333"/>
          <w:sz w:val="28"/>
          <w:szCs w:val="28"/>
        </w:rPr>
        <w:t xml:space="preserve"> ответственност</w:t>
      </w:r>
      <w:r w:rsidRPr="002920B4">
        <w:rPr>
          <w:b/>
          <w:bCs/>
          <w:color w:val="333333"/>
          <w:sz w:val="28"/>
          <w:szCs w:val="28"/>
        </w:rPr>
        <w:t>ь</w:t>
      </w:r>
      <w:r w:rsidRPr="002920B4">
        <w:rPr>
          <w:b/>
          <w:bCs/>
          <w:color w:val="333333"/>
          <w:sz w:val="28"/>
          <w:szCs w:val="28"/>
        </w:rPr>
        <w:t xml:space="preserve"> за преступления против правосудия </w:t>
      </w:r>
    </w:p>
    <w:bookmarkEnd w:id="0"/>
    <w:p w:rsidR="002920B4" w:rsidRPr="002920B4" w:rsidRDefault="002920B4" w:rsidP="002920B4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2920B4" w:rsidRPr="002920B4" w:rsidRDefault="002920B4" w:rsidP="002920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920B4">
        <w:rPr>
          <w:color w:val="333333"/>
          <w:sz w:val="28"/>
          <w:szCs w:val="28"/>
          <w:shd w:val="clear" w:color="auto" w:fill="FFFFFF"/>
        </w:rPr>
        <w:t>Постановлением Пленума Верховного Суда РФ от 28.06.2022 № 20 разъяснены вопросы применения судами законодательства об уголовной ответственности за преступления против правосудия.</w:t>
      </w:r>
    </w:p>
    <w:p w:rsidR="002920B4" w:rsidRPr="002920B4" w:rsidRDefault="002920B4" w:rsidP="002920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920B4">
        <w:rPr>
          <w:color w:val="333333"/>
          <w:sz w:val="28"/>
          <w:szCs w:val="28"/>
          <w:shd w:val="clear" w:color="auto" w:fill="FFFFFF"/>
        </w:rPr>
        <w:t>Это первые разъяснения высшей судебной инстанции вопросов уголовной ответственности за незаконные задержание, принуждение к даче показаний, фальсификацию доказательств и результатов оперативно-розыскной деятельности, заведомо ложный донос, заведомо ложные показания, заключение эксперта, специалиста или неправильный перевод.</w:t>
      </w:r>
    </w:p>
    <w:p w:rsidR="002920B4" w:rsidRPr="002920B4" w:rsidRDefault="002920B4" w:rsidP="002920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920B4">
        <w:rPr>
          <w:color w:val="333333"/>
          <w:sz w:val="28"/>
          <w:szCs w:val="28"/>
          <w:shd w:val="clear" w:color="auto" w:fill="FFFFFF"/>
        </w:rPr>
        <w:t>В них дана подробная правовая характеристика признаков указанных составов преступлений против правосудия.</w:t>
      </w:r>
    </w:p>
    <w:p w:rsidR="002920B4" w:rsidRPr="002920B4" w:rsidRDefault="002920B4" w:rsidP="002920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920B4">
        <w:rPr>
          <w:color w:val="333333"/>
          <w:sz w:val="28"/>
          <w:szCs w:val="28"/>
          <w:shd w:val="clear" w:color="auto" w:fill="FFFFFF"/>
        </w:rPr>
        <w:t>В частности указано, что объективная сторона заведомо ложного доноса (статья 306 УК РФ) состоит в умышленном сообщении в органы дознания, предварительного следствия или прокуратуры заведомо недостоверной информации о событии подготавливаемого, совершаемого либо совершенного уголовно наказуемого деяния независимо от того, содержит ли такое сообщение указание на причастность к данному деянию конкретных лиц.</w:t>
      </w:r>
    </w:p>
    <w:p w:rsidR="002920B4" w:rsidRPr="002920B4" w:rsidRDefault="002920B4" w:rsidP="002920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920B4">
        <w:rPr>
          <w:color w:val="333333"/>
          <w:sz w:val="28"/>
          <w:szCs w:val="28"/>
          <w:shd w:val="clear" w:color="auto" w:fill="FFFFFF"/>
        </w:rPr>
        <w:t>Добросовестное заблуждение заявителя относительно события преступления и (или) его существенных обстоятельств, в том числе о причастности к этому преступлению конкретных лиц, исключает умышленный характер его действий и наступление уголовной ответственности по статье 306 УК РФ.</w:t>
      </w:r>
    </w:p>
    <w:p w:rsidR="002920B4" w:rsidRPr="002920B4" w:rsidRDefault="002920B4" w:rsidP="002920B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920B4">
        <w:rPr>
          <w:color w:val="333333"/>
          <w:sz w:val="28"/>
          <w:szCs w:val="28"/>
          <w:shd w:val="clear" w:color="auto" w:fill="FFFFFF"/>
        </w:rPr>
        <w:t>Также разъяснено, что заведомо ложные заключение или показание эксперта, показание специалиста, а равно заведомо неправильный перевод в суде либо в ходе досудебного производства (статья 307 УК РФ) заключается, в частности, в таких умышленных действиях, как искажение специалистом в своих показаниях действительных обстоятельств, имеющих значение для доказывания, неправильное отражение экспертом в заключении результатов проведенного исследования, искажение переводчиком смысла переведенного текста. Кроме того, закреплено, что при рассмотрении уголовных дел о фальсификации доказательств судам следует учитывать особенности доказывания в различных видах судопроизводства, установленные в АПК РФ, ГПК РФ, КАС РФ, КоАП РФ, УПК РФ.</w:t>
      </w:r>
    </w:p>
    <w:p w:rsidR="004E3DCA" w:rsidRDefault="004E3DC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680A" w:rsidRPr="00564199" w:rsidRDefault="000C680A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2C17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2022-07-28T09:55:00Z</dcterms:created>
  <dcterms:modified xsi:type="dcterms:W3CDTF">2022-07-28T09:55:00Z</dcterms:modified>
</cp:coreProperties>
</file>